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color w:val="auto"/>
          <w:sz w:val="28"/>
          <w:szCs w:val="28"/>
          <w:shd w:val="clear" w:color="auto" w:fill="FFFFFF"/>
          <w:lang w:val="en-US" w:eastAsia="zh-CN"/>
        </w:rPr>
      </w:pPr>
      <w:r>
        <w:rPr>
          <w:rFonts w:hint="eastAsia" w:ascii="黑体" w:hAnsi="黑体" w:eastAsia="黑体" w:cs="黑体"/>
          <w:color w:val="auto"/>
          <w:sz w:val="28"/>
          <w:szCs w:val="28"/>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大标宋简体" w:hAnsi="方正大标宋简体" w:eastAsia="方正大标宋简体" w:cs="方正大标宋简体"/>
          <w:b w:val="0"/>
          <w:i w:val="0"/>
          <w:caps w:val="0"/>
          <w:color w:val="000000"/>
          <w:spacing w:val="20"/>
          <w:kern w:val="0"/>
          <w:sz w:val="44"/>
          <w:szCs w:val="44"/>
          <w:shd w:val="clear" w:color="auto" w:fill="FFFFFF"/>
          <w:lang w:val="en-US" w:eastAsia="zh-CN" w:bidi="ar"/>
        </w:rPr>
      </w:pPr>
      <w:r>
        <w:rPr>
          <w:rFonts w:hint="eastAsia" w:ascii="方正大标宋简体" w:hAnsi="方正大标宋简体" w:eastAsia="方正大标宋简体" w:cs="方正大标宋简体"/>
          <w:b w:val="0"/>
          <w:i w:val="0"/>
          <w:caps w:val="0"/>
          <w:color w:val="000000"/>
          <w:spacing w:val="20"/>
          <w:kern w:val="0"/>
          <w:sz w:val="44"/>
          <w:szCs w:val="44"/>
          <w:shd w:val="clear" w:color="auto" w:fill="FFFFFF"/>
          <w:lang w:val="en-US" w:eastAsia="zh-CN" w:bidi="ar"/>
        </w:rPr>
        <w:t>2024年度抚顺市</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大标宋简体" w:hAnsi="方正大标宋简体" w:eastAsia="方正大标宋简体" w:cs="方正大标宋简体"/>
          <w:b w:val="0"/>
          <w:i w:val="0"/>
          <w:caps w:val="0"/>
          <w:color w:val="000000"/>
          <w:spacing w:val="20"/>
          <w:kern w:val="0"/>
          <w:sz w:val="44"/>
          <w:szCs w:val="44"/>
          <w:shd w:val="clear" w:color="auto" w:fill="FFFFFF"/>
          <w:lang w:val="en-US" w:eastAsia="zh-CN" w:bidi="ar"/>
        </w:rPr>
      </w:pPr>
      <w:r>
        <w:rPr>
          <w:rFonts w:hint="eastAsia" w:ascii="方正大标宋简体" w:hAnsi="方正大标宋简体" w:eastAsia="方正大标宋简体" w:cs="方正大标宋简体"/>
          <w:b w:val="0"/>
          <w:i w:val="0"/>
          <w:caps w:val="0"/>
          <w:color w:val="000000"/>
          <w:spacing w:val="20"/>
          <w:kern w:val="0"/>
          <w:sz w:val="44"/>
          <w:szCs w:val="44"/>
          <w:shd w:val="clear" w:color="auto" w:fill="FFFFFF"/>
          <w:lang w:val="en-US" w:eastAsia="zh-CN" w:bidi="ar"/>
        </w:rPr>
        <w:t>社会科学规划立项课题选题指南</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楷体" w:hAnsi="楷体" w:eastAsia="楷体" w:cs="楷体"/>
          <w:b w:val="0"/>
          <w:i w:val="0"/>
          <w:caps w:val="0"/>
          <w:color w:val="000000" w:themeColor="text1"/>
          <w:spacing w:val="20"/>
          <w:kern w:val="0"/>
          <w:sz w:val="36"/>
          <w:szCs w:val="36"/>
          <w:shd w:val="clear" w:color="auto" w:fill="FFFFFF"/>
          <w:lang w:val="en-US" w:eastAsia="zh-CN" w:bidi="ar"/>
          <w14:textFill>
            <w14:solidFill>
              <w14:schemeClr w14:val="tx1"/>
            </w14:solidFill>
          </w14:textFill>
        </w:rPr>
      </w:pPr>
      <w:r>
        <w:rPr>
          <w:rFonts w:hint="eastAsia" w:ascii="楷体" w:hAnsi="楷体" w:eastAsia="楷体" w:cs="楷体"/>
          <w:b w:val="0"/>
          <w:i w:val="0"/>
          <w:caps w:val="0"/>
          <w:color w:val="000000" w:themeColor="text1"/>
          <w:spacing w:val="20"/>
          <w:kern w:val="0"/>
          <w:sz w:val="36"/>
          <w:szCs w:val="36"/>
          <w:shd w:val="clear" w:color="auto" w:fill="FFFFFF"/>
          <w:lang w:val="en-US" w:eastAsia="zh-CN" w:bidi="ar"/>
          <w14:textFill>
            <w14:solidFill>
              <w14:schemeClr w14:val="tx1"/>
            </w14:solidFill>
          </w14:textFill>
        </w:rPr>
        <w:t>（可自拟题目）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一、习近平新时代中国特色社会主义思想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1.习近平经济思想研究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2.习近平法治思想研究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3.习近平文化思想研究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4.习近平生态文明思想研究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5.习近平外交思想研究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6.习近平强军思想研究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7.习近平新时代中国特色社会主义思想融入民办高校思政课的路径研究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8.习近平法治思想融入高校思想政治教育创新研究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9.习近平生态文明思想赋能全面振兴老工业基地城市发展路径探究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10.习近平文化思想融入高校思政课教学探析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二、全面振兴新突破三年行动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11.装备制造产业创新升级研究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12.构建数字生态体系建设的思路和方法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13.大数据视角下的抚顺市冬季运动旅游资源开发与市场营销策略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14.基于大数据的抚顺市旅游资源优化配置研究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15.推动文旅产业全业态全产业链提质升级研究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16.为助力抚顺全面振兴新突破提高技术技能人才供给及质量的策略研究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17.新时代东北全面振兴视角下抚顺市营商环境优化升级路径研究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18.关于以高质量信用建设助力一流营商环境建设的对策建议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19.创新金融服务支持抚顺民营经济发展问题研究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20.“双循环”新发展格局下抚顺市石化产业高质量发展内涵研究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21.“双碳”背景下抚顺市石化产业碳达峰、碳中和实现路径研究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22.抚顺市石化产业构建绿色低碳产品价值链融入国家“无废城市”建设路径研究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23.关于辽宁绿色经济区区域协同发展的对策建议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24.创新金融服务推进抚顺乡村振兴路径研究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25.新时代东北振兴背景下金融助力抚顺地区农产品深加工小微企业研究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26.充分发挥统一战线在服务全面振兴新突破三年行动中的强大法宝作用研究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27.关于加快构建吸引高校毕业生就业创业机制 服务抚顺全面振兴新突破“三年行动”实践研究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28.抚顺市非物质文化遗产保护传承与创新发展研究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29.加快新型城镇化建设推动我市振兴发展的问题和对策研究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30.新时代全面振兴背景下高校大学生法治意识提升的路径研究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三、新时代“六地”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31.推进国家安全体系和能力现代化研究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32.产学研深度融合助力企业科技自立自强对策研究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33.抚顺市制造业供应链提升路径研究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34.数字经济驱动抚顺装备制造业高质量发展的路径识别与效应评估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35.扎实推进农文旅融合 助力现代化大农业发展先行地建设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36.发展新型农村集体经济的对策研究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37.加快提升抚顺特色农业区域品牌知名度问题研究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38.辽宁新时代“六地”定位下抚顺市文旅融合发展路径研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39.文旅融合背景下抚顺市发展高品质研学旅行的研究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40.基于新时代“六地”打造的高品质文体旅融合发展示范项目建设研究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41.文旅融合视角下公共图书馆的创新服务研究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42.建立健全绿色低碳生态循环发展体系与推动抚顺生态文明发展的研究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43.统筹水资源、水环境、水生态治理的机制和路径研究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44.数据要素治理对深化抚顺市民营经济数字化转型的策略研究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45.依托工业文化助力抚顺文旅产业融合发展研究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46.大数据视角下抚顺环境监控与管理创新研究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47.加快发展壮大抚顺科技型中小企业对策研究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48.推进石化和精细化工产业基地建设研究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 xml:space="preserve">    49.基于RCEP的我市贸易发展研究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50.关于我市高水平参与中日韩经贸合作和东北亚区域合作的对策研究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四、红色“六地”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51.新中国成功教育改造日本战犯的重要意义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52.抚顺老工业基地文化元素的保护与传承策略研究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53.中国式现代化视域下抚顺工业文化与雷锋精神研究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54.沈抚创新示范区打造红色“六地”实施战略研究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55.中国式现代化视域下抚顺红色文化传播力影响研究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56.抚顺校园红色文化教育体系构建研究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57.抚顺市红色文化资源挖掘与时代新人培育研究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58.抚顺红色文旅资源的数字化创意转化与传播研究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59.雷锋精神融入廉政文化建设的实践路径研究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60.雷锋精神融入高校思政教育的时代价值和路径探索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61.雷锋精神助力辽宁全面振兴发展取得新突破的对策研究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62.打造雷锋特色文化品牌的实践研究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63.雷锋精神的传承及其与高校思政教育的融合研究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64.以新时代雷锋精神助推抚顺全面振兴的逻辑理路和实践进路研究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65.文化创意视角下抚顺雷锋文化品牌塑造与传播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五、中华人民共和国成立75周年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66.关于新时代党的创新理论传播方式研究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color w:val="auto"/>
          <w:sz w:val="32"/>
          <w:szCs w:val="32"/>
          <w:shd w:val="clear" w:color="auto" w:fill="FFFFFF"/>
          <w:lang w:val="en-US" w:eastAsia="zh-CN"/>
        </w:rPr>
      </w:pPr>
      <w:bookmarkStart w:id="0" w:name="_GoBack"/>
      <w:bookmarkEnd w:id="0"/>
      <w:r>
        <w:rPr>
          <w:rFonts w:hint="eastAsia" w:ascii="仿宋" w:hAnsi="仿宋" w:eastAsia="仿宋" w:cs="仿宋"/>
          <w:b w:val="0"/>
          <w:bCs w:val="0"/>
          <w:color w:val="auto"/>
          <w:sz w:val="32"/>
          <w:szCs w:val="32"/>
          <w:shd w:val="clear" w:color="auto" w:fill="FFFFFF"/>
          <w:lang w:val="en-US" w:eastAsia="zh-CN"/>
        </w:rPr>
        <w:t>67.大数据背景下抚顺基层治理创新研究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68.新发展格局下科技创新支撑引领抚顺经济高质量发展研究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69.地方数字经济与区域经济发展的关系与影响研究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70.产业集群发展问题研究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71.深化国资国企改革 实施改革深化提升行动研究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72.辽宁共和国工业奠基地旅游品牌省域一体化发展研究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73.抚顺市绿色低碳循环发展路径研究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74.抚顺宣传思想文化建设策略研究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75.如何在融媒体时代做好重大主题宣传报道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六、党的建设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76.习近平总书记关于党的建设的重要论述研究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77.以高质量党建引领高质量发展的对策研究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78.推动新时代组织工作高质量发展研究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79.加强新经济组织、新社会组织、新就业群体党的建设研究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80.加强新时代廉洁文化建设问题研究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81.大数据及可视化在纪检监察领域的应用研究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82.审计视角下国有企业贪腐问题研究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83.数智化背景下政府审计对抚顺国有企业腐败现象的治理研究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84.国企反腐对经济激励机制的影响：基于薪酬结构与员工激励的研究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85.高校党建工作发展研究</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0000000000000000000"/>
    <w:charset w:val="00"/>
    <w:family w:val="auto"/>
    <w:pitch w:val="default"/>
    <w:sig w:usb0="00000000" w:usb1="00000000" w:usb2="00000000" w:usb3="00000000" w:csb0="00000000" w:csb1="00000000"/>
  </w:font>
  <w:font w:name="Nimbus Roman No9 L">
    <w:altName w:val="Segoe Print"/>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Mzg0NjQ0OGFkYjM0MzQwNjA1ZjVjODc3NWQzMjAifQ=="/>
  </w:docVars>
  <w:rsids>
    <w:rsidRoot w:val="00000000"/>
    <w:rsid w:val="003D21B2"/>
    <w:rsid w:val="00BA1A55"/>
    <w:rsid w:val="00CD3FA8"/>
    <w:rsid w:val="00FE7B94"/>
    <w:rsid w:val="018538B1"/>
    <w:rsid w:val="01891B53"/>
    <w:rsid w:val="02274EC8"/>
    <w:rsid w:val="028D7421"/>
    <w:rsid w:val="02B01361"/>
    <w:rsid w:val="02EA0343"/>
    <w:rsid w:val="03A87C5E"/>
    <w:rsid w:val="03E26D1D"/>
    <w:rsid w:val="05082BA6"/>
    <w:rsid w:val="05DB4051"/>
    <w:rsid w:val="05F2532E"/>
    <w:rsid w:val="062A47FE"/>
    <w:rsid w:val="07386B1C"/>
    <w:rsid w:val="07C36490"/>
    <w:rsid w:val="095836C6"/>
    <w:rsid w:val="0969226A"/>
    <w:rsid w:val="09784D24"/>
    <w:rsid w:val="0A456833"/>
    <w:rsid w:val="0B2E376B"/>
    <w:rsid w:val="0BCD6AE0"/>
    <w:rsid w:val="0CC2761A"/>
    <w:rsid w:val="0CC71781"/>
    <w:rsid w:val="0D3A0159"/>
    <w:rsid w:val="0E460DCC"/>
    <w:rsid w:val="0E680D42"/>
    <w:rsid w:val="0EB4317B"/>
    <w:rsid w:val="10927999"/>
    <w:rsid w:val="10DD3AB0"/>
    <w:rsid w:val="10EE6077"/>
    <w:rsid w:val="1131366D"/>
    <w:rsid w:val="119B31DD"/>
    <w:rsid w:val="11C12C43"/>
    <w:rsid w:val="123A6C55"/>
    <w:rsid w:val="12521AED"/>
    <w:rsid w:val="12647A72"/>
    <w:rsid w:val="12F232D0"/>
    <w:rsid w:val="13243D49"/>
    <w:rsid w:val="13502EF1"/>
    <w:rsid w:val="13573E4C"/>
    <w:rsid w:val="13D84274"/>
    <w:rsid w:val="13EB4F75"/>
    <w:rsid w:val="14E9101E"/>
    <w:rsid w:val="15417846"/>
    <w:rsid w:val="15D05B4B"/>
    <w:rsid w:val="15F33C85"/>
    <w:rsid w:val="16732677"/>
    <w:rsid w:val="175E301B"/>
    <w:rsid w:val="178C0288"/>
    <w:rsid w:val="18441ED8"/>
    <w:rsid w:val="186F1B1E"/>
    <w:rsid w:val="18FA40EA"/>
    <w:rsid w:val="193A5D4C"/>
    <w:rsid w:val="1A0F4768"/>
    <w:rsid w:val="1A284390"/>
    <w:rsid w:val="1A795852"/>
    <w:rsid w:val="1ABC4478"/>
    <w:rsid w:val="1AEB6F83"/>
    <w:rsid w:val="1B177D78"/>
    <w:rsid w:val="1B3B76DD"/>
    <w:rsid w:val="1BC05D1A"/>
    <w:rsid w:val="1BC77E79"/>
    <w:rsid w:val="1C511115"/>
    <w:rsid w:val="1C73165A"/>
    <w:rsid w:val="1D2A625E"/>
    <w:rsid w:val="1D4C7B45"/>
    <w:rsid w:val="1E27444B"/>
    <w:rsid w:val="1ED2080B"/>
    <w:rsid w:val="1FD57E59"/>
    <w:rsid w:val="21AF0D0A"/>
    <w:rsid w:val="21BF0821"/>
    <w:rsid w:val="22441588"/>
    <w:rsid w:val="22BB36DF"/>
    <w:rsid w:val="22D402FC"/>
    <w:rsid w:val="22DB7190"/>
    <w:rsid w:val="231352C9"/>
    <w:rsid w:val="241A2687"/>
    <w:rsid w:val="246A716A"/>
    <w:rsid w:val="24867332"/>
    <w:rsid w:val="249E0BC2"/>
    <w:rsid w:val="249E5066"/>
    <w:rsid w:val="24A074D9"/>
    <w:rsid w:val="251241FF"/>
    <w:rsid w:val="25463338"/>
    <w:rsid w:val="255D4013"/>
    <w:rsid w:val="257842C2"/>
    <w:rsid w:val="259D70CC"/>
    <w:rsid w:val="25A4045A"/>
    <w:rsid w:val="25BF64A1"/>
    <w:rsid w:val="25F9484B"/>
    <w:rsid w:val="26595ACA"/>
    <w:rsid w:val="26923824"/>
    <w:rsid w:val="26B47BF0"/>
    <w:rsid w:val="27181100"/>
    <w:rsid w:val="27C2106B"/>
    <w:rsid w:val="28321D4D"/>
    <w:rsid w:val="286D7229"/>
    <w:rsid w:val="288822B5"/>
    <w:rsid w:val="28F11C08"/>
    <w:rsid w:val="293677ED"/>
    <w:rsid w:val="295A11BD"/>
    <w:rsid w:val="297B675D"/>
    <w:rsid w:val="2A741495"/>
    <w:rsid w:val="2A866380"/>
    <w:rsid w:val="2AAB5DE7"/>
    <w:rsid w:val="2AB303AA"/>
    <w:rsid w:val="2B19122C"/>
    <w:rsid w:val="2B586B51"/>
    <w:rsid w:val="2B7D12C6"/>
    <w:rsid w:val="2BE318DB"/>
    <w:rsid w:val="2C1B18C6"/>
    <w:rsid w:val="2CCD75D1"/>
    <w:rsid w:val="2D045C82"/>
    <w:rsid w:val="2D0776D6"/>
    <w:rsid w:val="2DB24C88"/>
    <w:rsid w:val="2E8B135F"/>
    <w:rsid w:val="2E905A1F"/>
    <w:rsid w:val="2E953036"/>
    <w:rsid w:val="2EE1627B"/>
    <w:rsid w:val="2F034FF4"/>
    <w:rsid w:val="2F067A90"/>
    <w:rsid w:val="2FB76FDC"/>
    <w:rsid w:val="2FD360F7"/>
    <w:rsid w:val="30EF2733"/>
    <w:rsid w:val="33141AD8"/>
    <w:rsid w:val="331A3259"/>
    <w:rsid w:val="333D3C9C"/>
    <w:rsid w:val="334C2090"/>
    <w:rsid w:val="340004D7"/>
    <w:rsid w:val="3414039D"/>
    <w:rsid w:val="3445105A"/>
    <w:rsid w:val="345E5021"/>
    <w:rsid w:val="35937FBA"/>
    <w:rsid w:val="35AB75E3"/>
    <w:rsid w:val="35C86EC0"/>
    <w:rsid w:val="367E6AA5"/>
    <w:rsid w:val="379554FC"/>
    <w:rsid w:val="37E705C1"/>
    <w:rsid w:val="381C0324"/>
    <w:rsid w:val="38407D18"/>
    <w:rsid w:val="384310F0"/>
    <w:rsid w:val="38795776"/>
    <w:rsid w:val="38B8629F"/>
    <w:rsid w:val="395A7356"/>
    <w:rsid w:val="39E032BD"/>
    <w:rsid w:val="3A575643"/>
    <w:rsid w:val="3ACF78CF"/>
    <w:rsid w:val="3B474991"/>
    <w:rsid w:val="3B5129DA"/>
    <w:rsid w:val="3B67527D"/>
    <w:rsid w:val="3BD776F8"/>
    <w:rsid w:val="3C666012"/>
    <w:rsid w:val="3CA00F1F"/>
    <w:rsid w:val="3CCF1E09"/>
    <w:rsid w:val="3DD61FA8"/>
    <w:rsid w:val="3E016A5C"/>
    <w:rsid w:val="3E1201FF"/>
    <w:rsid w:val="3E2A1A49"/>
    <w:rsid w:val="3E6A38EA"/>
    <w:rsid w:val="3E856111"/>
    <w:rsid w:val="3EB56DDC"/>
    <w:rsid w:val="3F1F0991"/>
    <w:rsid w:val="3F7647BE"/>
    <w:rsid w:val="3F8E4F4D"/>
    <w:rsid w:val="3FC2605B"/>
    <w:rsid w:val="3FF7533B"/>
    <w:rsid w:val="404623E2"/>
    <w:rsid w:val="405D29D0"/>
    <w:rsid w:val="40827192"/>
    <w:rsid w:val="41E46A1B"/>
    <w:rsid w:val="4235500D"/>
    <w:rsid w:val="425A03C6"/>
    <w:rsid w:val="42755200"/>
    <w:rsid w:val="428C35BE"/>
    <w:rsid w:val="42CE4CFD"/>
    <w:rsid w:val="43B507EE"/>
    <w:rsid w:val="43F16B09"/>
    <w:rsid w:val="443F7874"/>
    <w:rsid w:val="445D5C7F"/>
    <w:rsid w:val="454836E9"/>
    <w:rsid w:val="46534F8A"/>
    <w:rsid w:val="469B0FAE"/>
    <w:rsid w:val="46C71B7E"/>
    <w:rsid w:val="46DC25A6"/>
    <w:rsid w:val="47EB6E86"/>
    <w:rsid w:val="485B09F4"/>
    <w:rsid w:val="485C0954"/>
    <w:rsid w:val="486967EB"/>
    <w:rsid w:val="48E0439C"/>
    <w:rsid w:val="48F37D7B"/>
    <w:rsid w:val="4C4172EC"/>
    <w:rsid w:val="4C4D40C7"/>
    <w:rsid w:val="4C5A4CC2"/>
    <w:rsid w:val="4CAD6D83"/>
    <w:rsid w:val="4CFA7A28"/>
    <w:rsid w:val="4D407D5A"/>
    <w:rsid w:val="4D9329DF"/>
    <w:rsid w:val="4E10402F"/>
    <w:rsid w:val="4F722BA3"/>
    <w:rsid w:val="51292D36"/>
    <w:rsid w:val="51416613"/>
    <w:rsid w:val="51493AE0"/>
    <w:rsid w:val="51782617"/>
    <w:rsid w:val="5253273C"/>
    <w:rsid w:val="527A69B9"/>
    <w:rsid w:val="532528FF"/>
    <w:rsid w:val="538452A3"/>
    <w:rsid w:val="538C23AA"/>
    <w:rsid w:val="538E7ED0"/>
    <w:rsid w:val="5404023B"/>
    <w:rsid w:val="54104D89"/>
    <w:rsid w:val="547F5DC9"/>
    <w:rsid w:val="54C55B73"/>
    <w:rsid w:val="552B42B6"/>
    <w:rsid w:val="55643CAF"/>
    <w:rsid w:val="55713605"/>
    <w:rsid w:val="55762DA3"/>
    <w:rsid w:val="55901EB7"/>
    <w:rsid w:val="5810485E"/>
    <w:rsid w:val="58136BF6"/>
    <w:rsid w:val="581A00D8"/>
    <w:rsid w:val="58555460"/>
    <w:rsid w:val="58DD0FB2"/>
    <w:rsid w:val="596A6CE9"/>
    <w:rsid w:val="59995821"/>
    <w:rsid w:val="59C420AC"/>
    <w:rsid w:val="59DD570D"/>
    <w:rsid w:val="5A6E1547"/>
    <w:rsid w:val="5ABF5D58"/>
    <w:rsid w:val="5AC9596E"/>
    <w:rsid w:val="5AC971CD"/>
    <w:rsid w:val="5B757B99"/>
    <w:rsid w:val="5B7E082A"/>
    <w:rsid w:val="5BEF797A"/>
    <w:rsid w:val="5C930D6C"/>
    <w:rsid w:val="5D665A1A"/>
    <w:rsid w:val="5DD46E27"/>
    <w:rsid w:val="5E31427A"/>
    <w:rsid w:val="5F797C86"/>
    <w:rsid w:val="5FA10F8B"/>
    <w:rsid w:val="605756A7"/>
    <w:rsid w:val="61D80DC6"/>
    <w:rsid w:val="6243457B"/>
    <w:rsid w:val="62854B94"/>
    <w:rsid w:val="63057A83"/>
    <w:rsid w:val="632F68AE"/>
    <w:rsid w:val="63AA79AE"/>
    <w:rsid w:val="63F87BFF"/>
    <w:rsid w:val="640E404D"/>
    <w:rsid w:val="64601415"/>
    <w:rsid w:val="64BC1B19"/>
    <w:rsid w:val="64D92F75"/>
    <w:rsid w:val="65450D89"/>
    <w:rsid w:val="67C47F0C"/>
    <w:rsid w:val="68A044D6"/>
    <w:rsid w:val="68AE4433"/>
    <w:rsid w:val="695842CC"/>
    <w:rsid w:val="69590489"/>
    <w:rsid w:val="69A65864"/>
    <w:rsid w:val="69A73642"/>
    <w:rsid w:val="6A3D3FA6"/>
    <w:rsid w:val="6B77808F"/>
    <w:rsid w:val="6DBE0F5A"/>
    <w:rsid w:val="6E1C1CE7"/>
    <w:rsid w:val="6E3A0F28"/>
    <w:rsid w:val="6E3A4A84"/>
    <w:rsid w:val="6EA77125"/>
    <w:rsid w:val="6EFA2466"/>
    <w:rsid w:val="6FAD74D8"/>
    <w:rsid w:val="6FDD68F5"/>
    <w:rsid w:val="6FF7797F"/>
    <w:rsid w:val="6FFD25AF"/>
    <w:rsid w:val="701F3A2C"/>
    <w:rsid w:val="70A24B63"/>
    <w:rsid w:val="719170B1"/>
    <w:rsid w:val="719B46B4"/>
    <w:rsid w:val="71A37F7F"/>
    <w:rsid w:val="71D3435B"/>
    <w:rsid w:val="71F10B29"/>
    <w:rsid w:val="72077373"/>
    <w:rsid w:val="72693B8A"/>
    <w:rsid w:val="727C18CB"/>
    <w:rsid w:val="731C0BFD"/>
    <w:rsid w:val="73505E3C"/>
    <w:rsid w:val="735E0FF2"/>
    <w:rsid w:val="739F35DC"/>
    <w:rsid w:val="73B01EDE"/>
    <w:rsid w:val="73D2625E"/>
    <w:rsid w:val="73F03DB8"/>
    <w:rsid w:val="74AB7102"/>
    <w:rsid w:val="75320921"/>
    <w:rsid w:val="75F42C8F"/>
    <w:rsid w:val="763E532E"/>
    <w:rsid w:val="764D8AB3"/>
    <w:rsid w:val="76BD286D"/>
    <w:rsid w:val="76CB1C8B"/>
    <w:rsid w:val="779D7E32"/>
    <w:rsid w:val="77AD4519"/>
    <w:rsid w:val="78412EB3"/>
    <w:rsid w:val="78F70DA2"/>
    <w:rsid w:val="793043FD"/>
    <w:rsid w:val="79575A90"/>
    <w:rsid w:val="79762F01"/>
    <w:rsid w:val="79815C5D"/>
    <w:rsid w:val="79CD0EA3"/>
    <w:rsid w:val="7A04063C"/>
    <w:rsid w:val="7A173ECC"/>
    <w:rsid w:val="7AAC6D0A"/>
    <w:rsid w:val="7AFB60EB"/>
    <w:rsid w:val="7B03180C"/>
    <w:rsid w:val="7C3E1BE4"/>
    <w:rsid w:val="7C8F0691"/>
    <w:rsid w:val="7D046A11"/>
    <w:rsid w:val="7D317C57"/>
    <w:rsid w:val="7D4F1BCF"/>
    <w:rsid w:val="7D661390"/>
    <w:rsid w:val="7D7F09EE"/>
    <w:rsid w:val="7DE467BB"/>
    <w:rsid w:val="7EAA520C"/>
    <w:rsid w:val="7EFB02EF"/>
    <w:rsid w:val="7F37E098"/>
    <w:rsid w:val="7F5BABB3"/>
    <w:rsid w:val="E7FFCEDA"/>
    <w:rsid w:val="F76FAF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31"/>
    <w:basedOn w:val="6"/>
    <w:autoRedefine/>
    <w:qFormat/>
    <w:uiPriority w:val="0"/>
    <w:rPr>
      <w:rFonts w:hint="default" w:ascii="方正楷体_GBK" w:hAnsi="方正楷体_GBK" w:eastAsia="方正楷体_GBK" w:cs="方正楷体_GBK"/>
      <w:color w:val="000000"/>
      <w:sz w:val="28"/>
      <w:szCs w:val="28"/>
      <w:u w:val="none"/>
    </w:rPr>
  </w:style>
  <w:style w:type="character" w:customStyle="1" w:styleId="8">
    <w:name w:val="font11"/>
    <w:basedOn w:val="6"/>
    <w:autoRedefine/>
    <w:qFormat/>
    <w:uiPriority w:val="0"/>
    <w:rPr>
      <w:rFonts w:hint="default" w:ascii="方正楷体_GBK" w:hAnsi="方正楷体_GBK" w:eastAsia="方正楷体_GBK" w:cs="方正楷体_GBK"/>
      <w:color w:val="000000"/>
      <w:sz w:val="28"/>
      <w:szCs w:val="28"/>
      <w:u w:val="none"/>
    </w:rPr>
  </w:style>
  <w:style w:type="character" w:customStyle="1" w:styleId="9">
    <w:name w:val="font21"/>
    <w:basedOn w:val="6"/>
    <w:autoRedefine/>
    <w:qFormat/>
    <w:uiPriority w:val="0"/>
    <w:rPr>
      <w:rFonts w:hint="default" w:ascii="Nimbus Roman No9 L" w:hAnsi="Nimbus Roman No9 L" w:eastAsia="Nimbus Roman No9 L" w:cs="Nimbus Roman No9 L"/>
      <w:color w:val="000000"/>
      <w:sz w:val="28"/>
      <w:szCs w:val="28"/>
      <w:u w:val="none"/>
    </w:rPr>
  </w:style>
  <w:style w:type="character" w:customStyle="1" w:styleId="10">
    <w:name w:val="font41"/>
    <w:basedOn w:val="6"/>
    <w:autoRedefine/>
    <w:qFormat/>
    <w:uiPriority w:val="0"/>
    <w:rPr>
      <w:rFonts w:hint="default" w:ascii="方正楷体_GBK" w:hAnsi="方正楷体_GBK" w:eastAsia="方正楷体_GBK" w:cs="方正楷体_GBK"/>
      <w:color w:val="333333"/>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913</Words>
  <Characters>1006</Characters>
  <Lines>0</Lines>
  <Paragraphs>0</Paragraphs>
  <TotalTime>7</TotalTime>
  <ScaleCrop>false</ScaleCrop>
  <LinksUpToDate>false</LinksUpToDate>
  <CharactersWithSpaces>1007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Administrator</cp:lastModifiedBy>
  <cp:lastPrinted>2024-02-23T08:51:00Z</cp:lastPrinted>
  <dcterms:modified xsi:type="dcterms:W3CDTF">2024-02-26T01:36:52Z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C09866412D19439498D6BFDBB0A61488</vt:lpwstr>
  </property>
</Properties>
</file>